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3"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63DC3C8" w14:textId="611912B7" w:rsidR="00843789"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e technique</w:t>
      </w:r>
    </w:p>
    <w:p w14:paraId="192B1DDE" w14:textId="77777777" w:rsidR="008E73FC" w:rsidRDefault="008E73FC" w:rsidP="008E73FC">
      <w:pPr>
        <w:pStyle w:val="En-tte"/>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Pr>
          <w:rFonts w:ascii="Calibri" w:eastAsia="Arial" w:hAnsi="Calibri" w:cs="Calibri"/>
          <w:b/>
          <w:bCs/>
          <w:sz w:val="36"/>
          <w:szCs w:val="36"/>
          <w:lang w:val="fr" w:eastAsia="fr-FR"/>
        </w:rPr>
        <w:t>7</w:t>
      </w:r>
      <w:r w:rsidRPr="00185B69">
        <w:rPr>
          <w:rFonts w:ascii="Calibri" w:eastAsia="Arial" w:hAnsi="Calibri" w:cs="Calibri"/>
          <w:b/>
          <w:bCs/>
          <w:sz w:val="36"/>
          <w:szCs w:val="36"/>
          <w:lang w:val="fr" w:eastAsia="fr-FR"/>
        </w:rPr>
        <w:t> :</w:t>
      </w:r>
    </w:p>
    <w:p w14:paraId="23EEBF3C" w14:textId="6DEF038D" w:rsidR="008E73FC" w:rsidRPr="008E73FC" w:rsidRDefault="008E73FC" w:rsidP="008E73FC">
      <w:pPr>
        <w:pStyle w:val="En-tte"/>
        <w:jc w:val="center"/>
        <w:rPr>
          <w:rFonts w:ascii="Calibri" w:eastAsia="Arial" w:hAnsi="Calibri" w:cs="Calibri"/>
          <w:b/>
          <w:bCs/>
          <w:sz w:val="36"/>
          <w:szCs w:val="36"/>
          <w:lang w:val="fr" w:eastAsia="fr-FR"/>
        </w:rPr>
      </w:pPr>
      <w:r w:rsidRPr="00D30D79">
        <w:rPr>
          <w:rFonts w:ascii="Calibri" w:eastAsia="Arial" w:hAnsi="Calibri" w:cs="Calibri"/>
          <w:b/>
          <w:bCs/>
          <w:sz w:val="36"/>
          <w:szCs w:val="36"/>
          <w:lang w:eastAsia="fr-FR"/>
        </w:rPr>
        <w:t>Analyse de performances et conception d’interface graphique utilisateur des sites du CNM</w:t>
      </w:r>
    </w:p>
    <w:p w14:paraId="077FA236" w14:textId="77777777" w:rsidR="00843789" w:rsidRDefault="00843789" w:rsidP="00843789">
      <w:pPr>
        <w:spacing w:before="120" w:after="0" w:line="240" w:lineRule="auto"/>
        <w:jc w:val="both"/>
        <w:rPr>
          <w:rFonts w:ascii="Calibri" w:eastAsia="Times New Roman" w:hAnsi="Calibri" w:cs="Calibri"/>
          <w:kern w:val="0"/>
          <w:szCs w:val="28"/>
          <w:lang w:eastAsia="fr-FR"/>
          <w14:ligatures w14:val="none"/>
        </w:rPr>
      </w:pP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3"/>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4"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4"/>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05682386" w:rsidR="000E490B" w:rsidRPr="008E73FC" w:rsidRDefault="00843789" w:rsidP="008E73FC">
      <w:pPr>
        <w:spacing w:before="120" w:after="0" w:line="240" w:lineRule="auto"/>
        <w:jc w:val="both"/>
        <w:rPr>
          <w:rFonts w:ascii="Calibri Light" w:eastAsia="Times New Roman" w:hAnsi="Calibri Light" w:cs="Calibri Light"/>
          <w:kern w:val="0"/>
          <w:szCs w:val="28"/>
          <w:lang w:eastAsia="fr-FR"/>
          <w14:ligatures w14:val="none"/>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5" w:name="_Hlk221871841"/>
            <w:r w:rsidRPr="55C6EF82">
              <w:rPr>
                <w:b/>
                <w:bCs/>
                <w:sz w:val="20"/>
                <w:szCs w:val="20"/>
              </w:rPr>
              <w:t>Prix noté au regard du montant total du DQE</w:t>
            </w:r>
            <w:bookmarkEnd w:id="5"/>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6"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6"/>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7"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7"/>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8" w:name="_Toc220426354"/>
      <w:r w:rsidRPr="00F20DFC">
        <w:rPr>
          <w:rFonts w:asciiTheme="minorHAnsi" w:eastAsia="Times New Roman" w:hAnsiTheme="minorHAnsi" w:cs="Arial"/>
          <w:b/>
          <w:color w:val="683766"/>
          <w:kern w:val="0"/>
          <w:sz w:val="24"/>
          <w:szCs w:val="24"/>
          <w:lang w:eastAsia="fr-FR"/>
          <w14:ligatures w14:val="none"/>
        </w:rPr>
        <w:lastRenderedPageBreak/>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8"/>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proofErr w:type="gramStart"/>
      <w:r w:rsidR="00C057DE" w:rsidRPr="00F20DFC">
        <w:rPr>
          <w:i/>
          <w:iCs/>
          <w:sz w:val="18"/>
          <w:szCs w:val="18"/>
        </w:rPr>
        <w:t>la</w:t>
      </w:r>
      <w:proofErr w:type="gramEnd"/>
      <w:r w:rsidR="00C057DE" w:rsidRPr="00F20DFC">
        <w:rPr>
          <w:i/>
          <w:iCs/>
          <w:sz w:val="18"/>
          <w:szCs w:val="18"/>
        </w:rPr>
        <w:t xml:space="preserve">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les</w:t>
      </w:r>
      <w:proofErr w:type="gramEnd"/>
      <w:r w:rsidRPr="00F20DFC">
        <w:rPr>
          <w:i/>
          <w:iCs/>
          <w:sz w:val="18"/>
          <w:szCs w:val="18"/>
        </w:rPr>
        <w:t xml:space="preserve">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proofErr w:type="gramStart"/>
      <w:r>
        <w:rPr>
          <w:i/>
          <w:iCs/>
          <w:sz w:val="18"/>
          <w:szCs w:val="18"/>
        </w:rPr>
        <w:t>l</w:t>
      </w:r>
      <w:r w:rsidR="00BD63AC" w:rsidRPr="00F20DFC">
        <w:rPr>
          <w:i/>
          <w:iCs/>
          <w:sz w:val="18"/>
          <w:szCs w:val="18"/>
        </w:rPr>
        <w:t>es</w:t>
      </w:r>
      <w:proofErr w:type="gramEnd"/>
      <w:r w:rsidR="00BD63AC" w:rsidRPr="00F20DFC">
        <w:rPr>
          <w:i/>
          <w:iCs/>
          <w:sz w:val="18"/>
          <w:szCs w:val="18"/>
        </w:rPr>
        <w:t xml:space="preserve">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tout</w:t>
      </w:r>
      <w:proofErr w:type="gramEnd"/>
      <w:r w:rsidRPr="00F20DFC">
        <w:rPr>
          <w:i/>
          <w:iCs/>
          <w:sz w:val="18"/>
          <w:szCs w:val="18"/>
        </w:rPr>
        <w:t xml:space="preserve">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w:t>
      </w:r>
      <w:r w:rsidR="005521D9" w:rsidRPr="00F20DFC">
        <w:rPr>
          <w:i/>
          <w:iCs/>
          <w:sz w:val="18"/>
          <w:szCs w:val="18"/>
        </w:rPr>
        <w:t>a</w:t>
      </w:r>
      <w:proofErr w:type="gramEnd"/>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9" w:name="_Toc220426355"/>
      <w:r w:rsidRPr="00F20DFC">
        <w:rPr>
          <w:rFonts w:asciiTheme="minorHAnsi" w:eastAsia="Times New Roman" w:hAnsiTheme="minorHAnsi" w:cs="Arial"/>
          <w:b/>
          <w:color w:val="683766"/>
          <w:kern w:val="0"/>
          <w:sz w:val="24"/>
          <w:szCs w:val="24"/>
          <w:lang w:eastAsia="fr-FR"/>
          <w14:ligatures w14:val="none"/>
        </w:rPr>
        <w:lastRenderedPageBreak/>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9"/>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w:t>
      </w:r>
      <w:proofErr w:type="gramStart"/>
      <w:r w:rsidR="00983EFD" w:rsidRPr="00F20DFC">
        <w:rPr>
          <w:i/>
          <w:iCs/>
          <w:sz w:val="18"/>
          <w:szCs w:val="18"/>
        </w:rPr>
        <w:t>réalisés  (</w:t>
      </w:r>
      <w:proofErr w:type="gramEnd"/>
      <w:r w:rsidR="00983EFD" w:rsidRPr="00F20DFC">
        <w:rPr>
          <w:i/>
          <w:iCs/>
          <w:sz w:val="18"/>
          <w:szCs w:val="18"/>
        </w:rPr>
        <w:t>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0" w:name="_Toc220426356"/>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0"/>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des</w:t>
      </w:r>
      <w:proofErr w:type="gramEnd"/>
      <w:r w:rsidRPr="00F20DFC">
        <w:rPr>
          <w:i/>
          <w:iCs/>
          <w:sz w:val="18"/>
          <w:szCs w:val="18"/>
        </w:rPr>
        <w:t xml:space="preserve">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77777777" w:rsid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Pr>
          <w:i/>
          <w:iCs/>
          <w:sz w:val="18"/>
          <w:szCs w:val="18"/>
        </w:rPr>
        <w:t>de</w:t>
      </w:r>
      <w:proofErr w:type="gramEnd"/>
      <w:r>
        <w:rPr>
          <w:i/>
          <w:iCs/>
          <w:sz w:val="18"/>
          <w:szCs w:val="18"/>
        </w:rPr>
        <w:t xml:space="preserve"> la réglementation RGAA, </w:t>
      </w:r>
    </w:p>
    <w:p w14:paraId="6814379C" w14:textId="32F1365E" w:rsidR="004857CD" w:rsidRP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w:t>
      </w:r>
      <w:proofErr w:type="gramEnd"/>
      <w:r w:rsidRPr="00F20DFC">
        <w:rPr>
          <w:i/>
          <w:iCs/>
          <w:sz w:val="18"/>
          <w:szCs w:val="18"/>
        </w:rPr>
        <w:t xml:space="preserve"> la réglementation </w:t>
      </w:r>
      <w:r w:rsidR="004857CD" w:rsidRPr="00F20DFC">
        <w:rPr>
          <w:i/>
          <w:iCs/>
          <w:sz w:val="18"/>
          <w:szCs w:val="18"/>
        </w:rPr>
        <w:t>RGPD</w:t>
      </w:r>
      <w:r w:rsidRPr="00F20DFC">
        <w:rPr>
          <w:i/>
          <w:iCs/>
          <w:sz w:val="18"/>
          <w:szCs w:val="18"/>
        </w:rPr>
        <w:t> : méthodologie afin de garantir que la protection et la non-divulgation des données (notamment dans les environnements de recettes) et</w:t>
      </w:r>
      <w:r w:rsidR="00803F7B" w:rsidRPr="00F20DFC">
        <w:rPr>
          <w:i/>
          <w:iCs/>
          <w:sz w:val="18"/>
          <w:szCs w:val="18"/>
        </w:rPr>
        <w:t xml:space="preserve"> engagements</w:t>
      </w:r>
      <w:r w:rsidR="00B84728" w:rsidRPr="00F20DFC">
        <w:rPr>
          <w:i/>
          <w:iCs/>
          <w:sz w:val="18"/>
          <w:szCs w:val="18"/>
        </w:rPr>
        <w:t xml:space="preserve"> de confidentialité </w:t>
      </w:r>
      <w:r w:rsidR="00803F7B" w:rsidRPr="00F20DFC">
        <w:rPr>
          <w:i/>
          <w:iCs/>
          <w:sz w:val="18"/>
          <w:szCs w:val="18"/>
        </w:rPr>
        <w:t xml:space="preserve">pour la </w:t>
      </w:r>
      <w:r w:rsidR="00F44B84" w:rsidRPr="00F20DFC">
        <w:rPr>
          <w:i/>
          <w:iCs/>
          <w:sz w:val="18"/>
          <w:szCs w:val="18"/>
        </w:rPr>
        <w:t xml:space="preserve">sécurisation et </w:t>
      </w:r>
      <w:r w:rsidR="00803F7B" w:rsidRPr="00F20DFC">
        <w:rPr>
          <w:i/>
          <w:iCs/>
          <w:sz w:val="18"/>
          <w:szCs w:val="18"/>
        </w:rPr>
        <w:t>la</w:t>
      </w:r>
      <w:r w:rsidR="00F44B84" w:rsidRPr="00F20DFC">
        <w:rPr>
          <w:i/>
          <w:iCs/>
          <w:sz w:val="18"/>
          <w:szCs w:val="18"/>
        </w:rPr>
        <w:t xml:space="preserve"> protection des données</w:t>
      </w:r>
      <w:r>
        <w:rPr>
          <w:i/>
          <w:iCs/>
          <w:sz w:val="18"/>
          <w:szCs w:val="18"/>
        </w:rPr>
        <w:t xml:space="preserve">. </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1" w:name="_Toc220426357"/>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1"/>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proofErr w:type="gramStart"/>
      <w:r w:rsidR="008C1167" w:rsidRPr="00DF5DBF">
        <w:rPr>
          <w:i/>
          <w:iCs/>
          <w:sz w:val="18"/>
          <w:szCs w:val="18"/>
        </w:rPr>
        <w:t>)</w:t>
      </w:r>
      <w:r w:rsidR="00413DC2" w:rsidRPr="00DF5DBF">
        <w:rPr>
          <w:i/>
          <w:iCs/>
          <w:sz w:val="18"/>
          <w:szCs w:val="18"/>
        </w:rPr>
        <w:t xml:space="preserve"> ,</w:t>
      </w:r>
      <w:proofErr w:type="gramEnd"/>
      <w:r w:rsidR="00413DC2" w:rsidRPr="00DF5DBF">
        <w:rPr>
          <w:i/>
          <w:iCs/>
          <w:sz w:val="18"/>
          <w:szCs w:val="18"/>
        </w:rPr>
        <w:t xml:space="preserve">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w:t>
      </w:r>
      <w:proofErr w:type="gramStart"/>
      <w:r w:rsidR="003D0863" w:rsidRPr="00DF5DBF">
        <w:rPr>
          <w:i/>
          <w:iCs/>
          <w:sz w:val="18"/>
          <w:szCs w:val="18"/>
        </w:rPr>
        <w:t>carbone ,</w:t>
      </w:r>
      <w:proofErr w:type="gramEnd"/>
      <w:r w:rsidR="003D0863" w:rsidRPr="00DF5DBF">
        <w:rPr>
          <w:i/>
          <w:iCs/>
          <w:sz w:val="18"/>
          <w:szCs w:val="18"/>
        </w:rPr>
        <w:t xml:space="preserve">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 xml:space="preserve">nclusion et </w:t>
      </w:r>
      <w:proofErr w:type="gramStart"/>
      <w:r w:rsidR="00820A77" w:rsidRPr="00DF5DBF">
        <w:rPr>
          <w:i/>
          <w:iCs/>
          <w:sz w:val="18"/>
          <w:szCs w:val="18"/>
        </w:rPr>
        <w:t>handicap,</w:t>
      </w:r>
      <w:r w:rsidR="00893314" w:rsidRPr="00DF5DBF">
        <w:rPr>
          <w:i/>
          <w:iCs/>
          <w:sz w:val="18"/>
          <w:szCs w:val="18"/>
        </w:rPr>
        <w:t>…</w:t>
      </w:r>
      <w:proofErr w:type="gramEnd"/>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 xml:space="preserve">ctions de mécénat ou </w:t>
      </w:r>
      <w:proofErr w:type="gramStart"/>
      <w:r w:rsidR="006D71B3" w:rsidRPr="00DF5DBF">
        <w:rPr>
          <w:i/>
          <w:iCs/>
          <w:sz w:val="18"/>
          <w:szCs w:val="18"/>
        </w:rPr>
        <w:t>sponsoring</w:t>
      </w:r>
      <w:proofErr w:type="gramEnd"/>
      <w:r w:rsidR="006D71B3" w:rsidRPr="00DF5DBF">
        <w:rPr>
          <w:i/>
          <w:iCs/>
          <w:sz w:val="18"/>
          <w:szCs w:val="18"/>
        </w:rPr>
        <w:t>,</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 xml:space="preserve">Actions mesurables d’amélioration </w:t>
      </w:r>
      <w:proofErr w:type="gramStart"/>
      <w:r w:rsidR="00103EF3" w:rsidRPr="00DF5DBF">
        <w:rPr>
          <w:i/>
          <w:iCs/>
          <w:sz w:val="18"/>
          <w:szCs w:val="18"/>
        </w:rPr>
        <w:t>continue</w:t>
      </w:r>
      <w:r w:rsidR="00512F67" w:rsidRPr="00DF5DBF">
        <w:rPr>
          <w:i/>
          <w:iCs/>
          <w:sz w:val="18"/>
          <w:szCs w:val="18"/>
        </w:rPr>
        <w:t>..</w:t>
      </w:r>
      <w:proofErr w:type="gramEnd"/>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07EFE"/>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A4A"/>
    <w:rsid w:val="00852C7E"/>
    <w:rsid w:val="008533C8"/>
    <w:rsid w:val="00853A74"/>
    <w:rsid w:val="00854AC7"/>
    <w:rsid w:val="0085532F"/>
    <w:rsid w:val="00856E01"/>
    <w:rsid w:val="00860892"/>
    <w:rsid w:val="00863B0F"/>
    <w:rsid w:val="008674B3"/>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E73F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2BAD"/>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07F36"/>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uiPriority w:val="99"/>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customXml/itemProps2.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B45153-DCDF-4662-A623-859C9CF0FF02}">
  <ds:schemaRefs>
    <ds:schemaRef ds:uri="http://schemas.microsoft.com/sharepoint/v3/contenttype/forms"/>
  </ds:schemaRefs>
</ds:datastoreItem>
</file>

<file path=customXml/itemProps4.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920</Words>
  <Characters>5064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3</cp:revision>
  <dcterms:created xsi:type="dcterms:W3CDTF">2026-02-18T09:31:00Z</dcterms:created>
  <dcterms:modified xsi:type="dcterms:W3CDTF">2026-02-19T14:19:00Z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